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157FEC" w:rsidRDefault="00F92268" w:rsidP="00850792">
      <w:pPr>
        <w:pStyle w:val="BodyText"/>
        <w:rPr>
          <w:sz w:val="6"/>
          <w:szCs w:val="6"/>
        </w:rPr>
      </w:pPr>
      <w:r w:rsidRPr="00157FE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157FEC"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157FEC" w:rsidRDefault="00F92268" w:rsidP="00F246C7">
            <w:pPr>
              <w:pStyle w:val="RefTableData"/>
            </w:pPr>
            <w:r w:rsidRPr="00157FEC">
              <w:t>Reference number(s)</w:t>
            </w:r>
          </w:p>
        </w:tc>
      </w:tr>
      <w:tr w:rsidR="00F92268" w:rsidRPr="00157FE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A12E906" w:rsidR="00F92268" w:rsidRPr="00157FEC" w:rsidRDefault="00A36F8D" w:rsidP="00F246C7">
            <w:pPr>
              <w:pStyle w:val="RefTableHeader"/>
            </w:pPr>
            <w:r w:rsidRPr="00A36F8D">
              <w:t>6250-A</w:t>
            </w:r>
          </w:p>
        </w:tc>
      </w:tr>
    </w:tbl>
    <w:p w14:paraId="74FBA5B4" w14:textId="77777777" w:rsidR="00051356" w:rsidRPr="00157FEC" w:rsidRDefault="00051356" w:rsidP="00A672B3">
      <w:pPr>
        <w:pStyle w:val="BodyText"/>
        <w:rPr>
          <w:b/>
          <w:bCs/>
          <w:sz w:val="16"/>
          <w:szCs w:val="16"/>
        </w:rPr>
        <w:sectPr w:rsidR="00051356" w:rsidRPr="00157FEC"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9322E46" w:rsidR="004B15BB" w:rsidRPr="00157FEC" w:rsidRDefault="00B958CC" w:rsidP="007E5C16">
      <w:pPr>
        <w:pStyle w:val="Heading1"/>
      </w:pPr>
      <w:r w:rsidRPr="00157FEC">
        <w:t xml:space="preserve">Standard </w:t>
      </w:r>
      <w:r w:rsidR="00A36F8D">
        <w:t>Guideline</w:t>
      </w:r>
      <w:r w:rsidRPr="00157FEC">
        <w:t xml:space="preserve"> Management </w:t>
      </w:r>
      <w:r w:rsidRPr="00157FEC">
        <w:br/>
      </w:r>
      <w:proofErr w:type="spellStart"/>
      <w:r w:rsidRPr="00157FEC">
        <w:t>Adzynma</w:t>
      </w:r>
      <w:proofErr w:type="spellEnd"/>
    </w:p>
    <w:p w14:paraId="78861C92" w14:textId="6989E855" w:rsidR="00203468" w:rsidRPr="00157FEC" w:rsidRDefault="00C64534" w:rsidP="008E0F0D">
      <w:pPr>
        <w:pStyle w:val="Heading2"/>
      </w:pPr>
      <w:r w:rsidRPr="00157FEC">
        <w:t xml:space="preserve">Products Referenced by this </w:t>
      </w:r>
      <w:r w:rsidR="00501602" w:rsidRPr="00157FEC">
        <w:t>Document</w:t>
      </w:r>
    </w:p>
    <w:p w14:paraId="5455152B" w14:textId="477B0054" w:rsidR="008E0F0D" w:rsidRPr="00157FEC" w:rsidRDefault="00D82D85" w:rsidP="008B73E8">
      <w:pPr>
        <w:pStyle w:val="BodyText"/>
      </w:pPr>
      <w:r w:rsidRPr="00157FEC">
        <w:t xml:space="preserve">Drugs that are listed in the </w:t>
      </w:r>
      <w:r w:rsidR="000315F1" w:rsidRPr="00157FEC">
        <w:t>following table</w:t>
      </w:r>
      <w:r w:rsidRPr="00157FEC">
        <w:t xml:space="preserve"> include both brand and generic and all dosage forms and strengths unless otherwise stated. </w:t>
      </w:r>
      <w:r w:rsidR="0024215E">
        <w:rPr>
          <w:rStyle w:val="ui-provider"/>
        </w:rPr>
        <w:t>Over</w:t>
      </w:r>
      <w:r w:rsidR="00461FE4">
        <w:rPr>
          <w:rStyle w:val="ui-provider"/>
        </w:rPr>
        <w:t>-</w:t>
      </w:r>
      <w:r w:rsidR="0024215E">
        <w:rPr>
          <w:rStyle w:val="ui-provider"/>
        </w:rPr>
        <w:t>the</w:t>
      </w:r>
      <w:r w:rsidR="00461FE4">
        <w:rPr>
          <w:rStyle w:val="ui-provider"/>
        </w:rPr>
        <w:t>-</w:t>
      </w:r>
      <w:r w:rsidR="0024215E">
        <w:rPr>
          <w:rStyle w:val="ui-provider"/>
        </w:rPr>
        <w:t>counter (OTC)</w:t>
      </w:r>
      <w:r w:rsidRPr="00157FEC">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157FEC" w14:paraId="057AAA89" w14:textId="77777777">
        <w:trPr>
          <w:cantSplit/>
          <w:trHeight w:val="288"/>
          <w:tblHeader/>
        </w:trPr>
        <w:tc>
          <w:tcPr>
            <w:tcW w:w="5265" w:type="dxa"/>
            <w:vAlign w:val="center"/>
          </w:tcPr>
          <w:p w14:paraId="6CBFE1BD" w14:textId="77777777" w:rsidR="005B4D7C" w:rsidRPr="00157FEC" w:rsidRDefault="005B4D7C">
            <w:pPr>
              <w:pStyle w:val="TableHeader"/>
            </w:pPr>
            <w:r w:rsidRPr="00157FEC">
              <w:t>Brand Name</w:t>
            </w:r>
          </w:p>
        </w:tc>
        <w:tc>
          <w:tcPr>
            <w:tcW w:w="5595" w:type="dxa"/>
            <w:vAlign w:val="center"/>
          </w:tcPr>
          <w:p w14:paraId="18440B85" w14:textId="77777777" w:rsidR="005B4D7C" w:rsidRPr="00157FEC" w:rsidRDefault="005B4D7C">
            <w:pPr>
              <w:pStyle w:val="TableHeader"/>
            </w:pPr>
            <w:r w:rsidRPr="00157FEC">
              <w:t>Generic Name</w:t>
            </w:r>
          </w:p>
        </w:tc>
      </w:tr>
      <w:tr w:rsidR="005B4D7C" w:rsidRPr="00157FEC" w14:paraId="7742B1EC" w14:textId="77777777">
        <w:trPr>
          <w:cantSplit/>
        </w:trPr>
        <w:tc>
          <w:tcPr>
            <w:tcW w:w="5265" w:type="dxa"/>
          </w:tcPr>
          <w:p w14:paraId="4DED0C9B" w14:textId="244CA208" w:rsidR="005B4D7C" w:rsidRPr="00157FEC" w:rsidRDefault="00B958CC">
            <w:pPr>
              <w:pStyle w:val="TableDataUnpadded"/>
            </w:pPr>
            <w:proofErr w:type="spellStart"/>
            <w:r w:rsidRPr="00157FEC">
              <w:t>Adzynma</w:t>
            </w:r>
            <w:proofErr w:type="spellEnd"/>
          </w:p>
        </w:tc>
        <w:tc>
          <w:tcPr>
            <w:tcW w:w="5595" w:type="dxa"/>
          </w:tcPr>
          <w:p w14:paraId="1A09710D" w14:textId="0D128EA4" w:rsidR="005B4D7C" w:rsidRPr="00157FEC" w:rsidRDefault="00B958CC">
            <w:pPr>
              <w:pStyle w:val="TableDataUnpadded"/>
            </w:pPr>
            <w:r w:rsidRPr="00157FEC">
              <w:t>ADAMTS13, recombinant-</w:t>
            </w:r>
            <w:proofErr w:type="spellStart"/>
            <w:r w:rsidRPr="00157FEC">
              <w:t>krhn</w:t>
            </w:r>
            <w:proofErr w:type="spellEnd"/>
          </w:p>
        </w:tc>
      </w:tr>
    </w:tbl>
    <w:p w14:paraId="14CE6108" w14:textId="400F3E1A" w:rsidR="00FC1AAD" w:rsidRPr="00157FEC" w:rsidRDefault="00ED052F" w:rsidP="00AA2A94">
      <w:pPr>
        <w:pStyle w:val="Heading2"/>
        <w:tabs>
          <w:tab w:val="left" w:pos="9540"/>
        </w:tabs>
      </w:pPr>
      <w:r w:rsidRPr="00157FEC">
        <w:t>Indications</w:t>
      </w:r>
    </w:p>
    <w:p w14:paraId="40CCB9F0" w14:textId="77777777" w:rsidR="00B958CC" w:rsidRPr="00157FEC" w:rsidRDefault="00B958CC" w:rsidP="00CD16AB">
      <w:pPr>
        <w:pStyle w:val="BodyText"/>
      </w:pPr>
      <w:r w:rsidRPr="00157FEC">
        <w:t>The indications below including FDA-approved indications and compendial uses are considered a covered benefit provided that all the approval criteria are met and the member has no exclusions to the prescribed therapy.</w:t>
      </w:r>
    </w:p>
    <w:p w14:paraId="4866DD9A" w14:textId="70441645" w:rsidR="00B958CC" w:rsidRPr="00157FEC" w:rsidRDefault="00B958CC" w:rsidP="00CD16AB">
      <w:pPr>
        <w:pStyle w:val="Heading3"/>
      </w:pPr>
      <w:r w:rsidRPr="00157FEC">
        <w:t>FDA-</w:t>
      </w:r>
      <w:r w:rsidR="00CD16AB" w:rsidRPr="00157FEC">
        <w:t>a</w:t>
      </w:r>
      <w:r w:rsidRPr="00157FEC">
        <w:t>pproved Indication</w:t>
      </w:r>
    </w:p>
    <w:p w14:paraId="2D503104" w14:textId="77777777" w:rsidR="00B958CC" w:rsidRPr="00157FEC" w:rsidRDefault="00B958CC" w:rsidP="00CD16AB">
      <w:pPr>
        <w:pStyle w:val="BodyText"/>
      </w:pPr>
      <w:proofErr w:type="spellStart"/>
      <w:r w:rsidRPr="00157FEC">
        <w:t>Adzynma</w:t>
      </w:r>
      <w:proofErr w:type="spellEnd"/>
      <w:r w:rsidRPr="00157FEC">
        <w:t xml:space="preserve"> is indicated for prophylactic or on demand enzyme replacement therapy (ERT) in adult and pediatric patients with congenital thrombotic thrombocytopenic purpura (</w:t>
      </w:r>
      <w:proofErr w:type="spellStart"/>
      <w:r w:rsidRPr="00157FEC">
        <w:t>cTTP</w:t>
      </w:r>
      <w:proofErr w:type="spellEnd"/>
      <w:r w:rsidRPr="00157FEC">
        <w:t>).</w:t>
      </w:r>
    </w:p>
    <w:p w14:paraId="1AA101EE" w14:textId="326116C5" w:rsidR="00A36F8D" w:rsidRPr="00157FEC" w:rsidRDefault="00A36F8D" w:rsidP="00CD16AB">
      <w:pPr>
        <w:pStyle w:val="BodyText"/>
      </w:pPr>
      <w:r w:rsidRPr="00A36F8D">
        <w:t>All other indications are considered experimental/investigational and not medically necessary.</w:t>
      </w:r>
    </w:p>
    <w:p w14:paraId="37B62971" w14:textId="5E7DF65A" w:rsidR="00B958CC" w:rsidRPr="00157FEC" w:rsidRDefault="00CD16AB" w:rsidP="00CD16AB">
      <w:pPr>
        <w:pStyle w:val="Heading2"/>
      </w:pPr>
      <w:r w:rsidRPr="00157FEC">
        <w:t>Documentation</w:t>
      </w:r>
    </w:p>
    <w:p w14:paraId="220913AA" w14:textId="77777777" w:rsidR="00A36F8D" w:rsidRDefault="00A36F8D" w:rsidP="00A36F8D">
      <w:r>
        <w:t>Submission of the following information is necessary to initiate the prior authorization review:</w:t>
      </w:r>
    </w:p>
    <w:p w14:paraId="514434FA" w14:textId="4AB99F83" w:rsidR="00A36F8D" w:rsidRDefault="00A36F8D" w:rsidP="00A36F8D">
      <w:pPr>
        <w:pStyle w:val="ListParagraph"/>
        <w:numPr>
          <w:ilvl w:val="0"/>
          <w:numId w:val="36"/>
        </w:numPr>
      </w:pPr>
      <w:r>
        <w:t>Initial requests: ADAMTS13 enzyme assay and ADAMTS13 genetic testing results supporting the diagnosis.</w:t>
      </w:r>
    </w:p>
    <w:p w14:paraId="0A5BDB12" w14:textId="6733908A" w:rsidR="00A36F8D" w:rsidRPr="00157FEC" w:rsidRDefault="00A36F8D" w:rsidP="00A36F8D">
      <w:pPr>
        <w:pStyle w:val="ListParagraph"/>
        <w:numPr>
          <w:ilvl w:val="0"/>
          <w:numId w:val="36"/>
        </w:numPr>
      </w:pPr>
      <w:r>
        <w:t xml:space="preserve">Continuation of therapy requests: Medical records (e.g., chart notes, lab reports) documenting a response to therapy (e.g., reduction or maintenance of number of thrombotic </w:t>
      </w:r>
      <w:r>
        <w:lastRenderedPageBreak/>
        <w:t>thrombocytopenic purpura [TTP] events, increase in platelet count, decrease in lactate dehydrogenase [LDH] level).</w:t>
      </w:r>
    </w:p>
    <w:p w14:paraId="6F4032D4" w14:textId="48805686" w:rsidR="00B958CC" w:rsidRPr="00157FEC" w:rsidRDefault="00CD16AB" w:rsidP="00A36F8D">
      <w:pPr>
        <w:pStyle w:val="Heading2"/>
        <w:tabs>
          <w:tab w:val="left" w:pos="9310"/>
        </w:tabs>
      </w:pPr>
      <w:r w:rsidRPr="00157FEC">
        <w:t>Coverage Criteria</w:t>
      </w:r>
    </w:p>
    <w:p w14:paraId="28A66E99" w14:textId="41E1308F" w:rsidR="00B958CC" w:rsidRPr="00157FEC" w:rsidRDefault="00B958CC" w:rsidP="00E216CB">
      <w:pPr>
        <w:pStyle w:val="Heading3"/>
      </w:pPr>
      <w:r w:rsidRPr="00157FEC">
        <w:t xml:space="preserve">Congenital </w:t>
      </w:r>
      <w:r w:rsidR="00E216CB" w:rsidRPr="00157FEC">
        <w:t>Thrombotic Thrombocytopenic Purpura</w:t>
      </w:r>
      <w:r w:rsidRPr="00157FEC">
        <w:t xml:space="preserve"> (</w:t>
      </w:r>
      <w:proofErr w:type="spellStart"/>
      <w:r w:rsidRPr="00157FEC">
        <w:t>cTTP</w:t>
      </w:r>
      <w:proofErr w:type="spellEnd"/>
      <w:r w:rsidRPr="00157FEC">
        <w:t>)</w:t>
      </w:r>
    </w:p>
    <w:p w14:paraId="13EDA36D" w14:textId="77777777" w:rsidR="00B958CC" w:rsidRPr="00157FEC" w:rsidRDefault="00B958CC" w:rsidP="00E216CB">
      <w:pPr>
        <w:pStyle w:val="BodyText"/>
      </w:pPr>
      <w:r w:rsidRPr="00157FEC">
        <w:t>Authorization of 6 months may be granted for the treatment of congenital thrombotic thrombocytopenic purpura (</w:t>
      </w:r>
      <w:proofErr w:type="spellStart"/>
      <w:r w:rsidRPr="00157FEC">
        <w:t>cTTP</w:t>
      </w:r>
      <w:proofErr w:type="spellEnd"/>
      <w:r w:rsidRPr="00157FEC">
        <w:t>) when both of the following criteria are met:</w:t>
      </w:r>
    </w:p>
    <w:p w14:paraId="1EA336C9" w14:textId="77777777" w:rsidR="00B958CC" w:rsidRPr="00157FEC" w:rsidRDefault="00B958CC" w:rsidP="00E216CB">
      <w:pPr>
        <w:pStyle w:val="ListParagraph"/>
      </w:pPr>
      <w:r w:rsidRPr="00157FEC">
        <w:t xml:space="preserve">The diagnosis of </w:t>
      </w:r>
      <w:proofErr w:type="spellStart"/>
      <w:r w:rsidRPr="00157FEC">
        <w:t>cTTP</w:t>
      </w:r>
      <w:proofErr w:type="spellEnd"/>
      <w:r w:rsidRPr="00157FEC">
        <w:t xml:space="preserve"> has been confirmed by genetic testing with biallelic mutations in the ADAMTS13 gene.</w:t>
      </w:r>
    </w:p>
    <w:p w14:paraId="76797A9C" w14:textId="77777777" w:rsidR="00B958CC" w:rsidRPr="00157FEC" w:rsidRDefault="00B958CC" w:rsidP="00E216CB">
      <w:pPr>
        <w:pStyle w:val="ListParagraph"/>
      </w:pPr>
      <w:r w:rsidRPr="00157FEC">
        <w:t xml:space="preserve">Member has an ADAMTS13 activity level of less than 10% at the time of diagnosis. </w:t>
      </w:r>
    </w:p>
    <w:p w14:paraId="705DD152" w14:textId="7DED2C63" w:rsidR="00B958CC" w:rsidRPr="00157FEC" w:rsidRDefault="00E216CB" w:rsidP="00E216CB">
      <w:pPr>
        <w:pStyle w:val="Heading2"/>
      </w:pPr>
      <w:r w:rsidRPr="00157FEC">
        <w:t>Continuation of Therapy</w:t>
      </w:r>
    </w:p>
    <w:p w14:paraId="4819C6E1" w14:textId="53D88206" w:rsidR="00A36F8D" w:rsidRPr="00157FEC" w:rsidRDefault="00A36F8D" w:rsidP="00A36F8D">
      <w:r w:rsidRPr="00A36F8D">
        <w:t>Authorization of 12 months may be granted for continued treatment in members requesting reauthorization for an indication listed in the coverage criteria section who are responding to therapy (e.g., reduction or maintenance of number of thrombotic thrombocytopenic purpura [TTP] events, increase in platelet count, decrease in lactate dehydrogenase [LDH] level).</w:t>
      </w:r>
    </w:p>
    <w:p w14:paraId="741A04F5" w14:textId="713BD34C" w:rsidR="00B958CC" w:rsidRPr="00157FEC" w:rsidRDefault="00E216CB" w:rsidP="00E216CB">
      <w:pPr>
        <w:pStyle w:val="Heading2"/>
      </w:pPr>
      <w:r w:rsidRPr="00157FEC">
        <w:t>References</w:t>
      </w:r>
    </w:p>
    <w:p w14:paraId="4B993052" w14:textId="77777777" w:rsidR="00A36F8D" w:rsidRDefault="00A36F8D" w:rsidP="00A36F8D">
      <w:pPr>
        <w:pStyle w:val="ReferenceOrdered"/>
      </w:pPr>
      <w:proofErr w:type="spellStart"/>
      <w:r>
        <w:t>Adzynma</w:t>
      </w:r>
      <w:proofErr w:type="spellEnd"/>
      <w:r>
        <w:t xml:space="preserve"> [package insert]. Lexington, MA: Takeda Pharmaceuticals U.S.A., Inc.; November 2023.</w:t>
      </w:r>
    </w:p>
    <w:p w14:paraId="4EDFA95B" w14:textId="77777777" w:rsidR="00A36F8D" w:rsidRDefault="00A36F8D" w:rsidP="00A36F8D">
      <w:pPr>
        <w:pStyle w:val="ReferenceOrdered"/>
      </w:pPr>
      <w:proofErr w:type="spellStart"/>
      <w:r>
        <w:t>Asmis</w:t>
      </w:r>
      <w:proofErr w:type="spellEnd"/>
      <w:r>
        <w:t xml:space="preserve"> LM, Serra A, Krafft A, et al. Recombinant ADAMTS13 for Hereditary Thrombotic Thrombocytopenic Purpura. N Engl J Med 2022; 387: 2356-2361.</w:t>
      </w:r>
    </w:p>
    <w:p w14:paraId="11830E34" w14:textId="7CEC166A" w:rsidR="00F46AE2" w:rsidRPr="00461FE4" w:rsidRDefault="00A36F8D" w:rsidP="00487002">
      <w:pPr>
        <w:pStyle w:val="ReferenceOrdered"/>
      </w:pPr>
      <w:r>
        <w:t xml:space="preserve">Scully M, </w:t>
      </w:r>
      <w:proofErr w:type="spellStart"/>
      <w:r>
        <w:t>Antun</w:t>
      </w:r>
      <w:proofErr w:type="spellEnd"/>
      <w:r>
        <w:t xml:space="preserve"> A, </w:t>
      </w:r>
      <w:proofErr w:type="spellStart"/>
      <w:r>
        <w:t>Ctalan</w:t>
      </w:r>
      <w:proofErr w:type="spellEnd"/>
      <w:r>
        <w:t xml:space="preserve"> SR, et al. Recombinant ADAMTS13 in Congenital Thrombotic Thrombocytopenic Purpura. N Engl J Med 2024; 390(17):1584-1596. doi:10.1056/NEJMoa2314793</w:t>
      </w:r>
      <w:r w:rsidR="00570B79">
        <w:t>.</w:t>
      </w:r>
    </w:p>
    <w:sectPr w:rsidR="00F46AE2" w:rsidRPr="00461FE4" w:rsidSect="00461FE4">
      <w:type w:val="continuous"/>
      <w:pgSz w:w="12240" w:h="15840" w:code="1"/>
      <w:pgMar w:top="900" w:right="720" w:bottom="990" w:left="720" w:header="720" w:footer="806" w:gutter="0"/>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0A5C8" w14:textId="77777777" w:rsidR="006469FB" w:rsidRDefault="006469FB">
      <w:r>
        <w:separator/>
      </w:r>
    </w:p>
  </w:endnote>
  <w:endnote w:type="continuationSeparator" w:id="0">
    <w:p w14:paraId="4336CBB5" w14:textId="77777777" w:rsidR="006469FB" w:rsidRDefault="006469FB">
      <w:r>
        <w:continuationSeparator/>
      </w:r>
    </w:p>
  </w:endnote>
  <w:endnote w:type="continuationNotice" w:id="1">
    <w:p w14:paraId="186C1AE8" w14:textId="77777777" w:rsidR="006469FB" w:rsidRDefault="00646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altName w:val="Calibri"/>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7B249215"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35A25" w:rsidRPr="00B35A25">
      <w:rPr>
        <w:rFonts w:cs="Arial"/>
        <w:noProof/>
        <w:sz w:val="16"/>
        <w:szCs w:val="16"/>
      </w:rPr>
      <w:t>Adzynma</w:t>
    </w:r>
    <w:r w:rsidR="00B35A25">
      <w:rPr>
        <w:rFonts w:cs="Arial"/>
        <w:noProof/>
        <w:snapToGrid w:val="0"/>
        <w:color w:val="000000"/>
        <w:sz w:val="16"/>
        <w:szCs w:val="16"/>
      </w:rPr>
      <w:t xml:space="preserve"> SGM 6250-A</w:t>
    </w:r>
    <w:r w:rsidR="00B35A25" w:rsidRPr="00B35A25">
      <w:rPr>
        <w:rFonts w:cs="Arial"/>
        <w:noProof/>
        <w:sz w:val="16"/>
        <w:szCs w:val="16"/>
      </w:rPr>
      <w:t xml:space="preserve"> </w:t>
    </w:r>
    <w:r w:rsidR="00570B79">
      <w:rPr>
        <w:rFonts w:cs="Arial"/>
        <w:noProof/>
        <w:sz w:val="16"/>
        <w:szCs w:val="16"/>
      </w:rPr>
      <w:t>P</w:t>
    </w:r>
    <w:r w:rsidR="00B35A25" w:rsidRPr="00B35A25">
      <w:rPr>
        <w:rFonts w:cs="Arial"/>
        <w:noProof/>
        <w:sz w:val="16"/>
        <w:szCs w:val="16"/>
      </w:rPr>
      <w:t>2024</w:t>
    </w:r>
    <w:r w:rsidR="00B35A25">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74B5EDED"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7781A2F" w:rsidR="00F75C81" w:rsidRPr="00461FE4" w:rsidRDefault="00C36B72" w:rsidP="00461FE4">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49E2" w14:textId="04BF0731" w:rsidR="00F46AE2" w:rsidRPr="00EC47B6" w:rsidRDefault="00F46AE2" w:rsidP="00F46AE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1C22FE">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B42425" w:rsidRPr="00487002">
      <w:rPr>
        <w:rFonts w:cs="Arial"/>
        <w:noProof/>
        <w:sz w:val="16"/>
        <w:szCs w:val="16"/>
      </w:rPr>
      <w:t>Adzynma</w:t>
    </w:r>
    <w:r w:rsidR="00B42425">
      <w:rPr>
        <w:rFonts w:cs="Arial"/>
        <w:noProof/>
        <w:snapToGrid w:val="0"/>
        <w:color w:val="000000"/>
        <w:sz w:val="16"/>
        <w:szCs w:val="16"/>
      </w:rPr>
      <w:t xml:space="preserve"> SGM 6250-A</w:t>
    </w:r>
    <w:r w:rsidR="00B42425" w:rsidRPr="00487002">
      <w:rPr>
        <w:rFonts w:cs="Arial"/>
        <w:noProof/>
        <w:sz w:val="16"/>
        <w:szCs w:val="16"/>
      </w:rPr>
      <w:t xml:space="preserve"> </w:t>
    </w:r>
    <w:r w:rsidR="00570B79">
      <w:rPr>
        <w:rFonts w:cs="Arial"/>
        <w:noProof/>
        <w:sz w:val="16"/>
        <w:szCs w:val="16"/>
      </w:rPr>
      <w:t>P</w:t>
    </w:r>
    <w:r w:rsidR="00B42425" w:rsidRPr="00487002">
      <w:rPr>
        <w:rFonts w:cs="Arial"/>
        <w:noProof/>
        <w:sz w:val="16"/>
        <w:szCs w:val="16"/>
      </w:rPr>
      <w:t>2024</w:t>
    </w:r>
    <w:r w:rsidR="00B42425">
      <w:rPr>
        <w:rFonts w:cs="Arial"/>
        <w:noProof/>
        <w:snapToGrid w:val="0"/>
        <w:color w:val="000000"/>
        <w:sz w:val="16"/>
        <w:szCs w:val="16"/>
      </w:rPr>
      <w:t>_R.docx</w:t>
    </w:r>
    <w:r w:rsidRPr="00EC47B6">
      <w:rPr>
        <w:rFonts w:cs="Arial"/>
        <w:noProof/>
        <w:sz w:val="16"/>
        <w:szCs w:val="16"/>
      </w:rPr>
      <w:fldChar w:fldCharType="end"/>
    </w:r>
    <w:r w:rsidRPr="001C22FE">
      <w:rPr>
        <w:rFonts w:cs="Arial"/>
        <w:snapToGrid w:val="0"/>
        <w:color w:val="000000"/>
        <w:sz w:val="16"/>
      </w:rPr>
      <w:tab/>
      <w:t xml:space="preserve">© 2024 CVS Caremark. </w:t>
    </w:r>
    <w:r w:rsidRPr="00EC47B6">
      <w:rPr>
        <w:rFonts w:cs="Arial"/>
        <w:snapToGrid w:val="0"/>
        <w:color w:val="000000"/>
        <w:sz w:val="16"/>
      </w:rPr>
      <w:t>All rights reserved.</w:t>
    </w:r>
  </w:p>
  <w:p w14:paraId="54713419" w14:textId="146B632B" w:rsidR="00F46AE2" w:rsidRPr="00EC47B6" w:rsidRDefault="00F46AE2" w:rsidP="00F46AE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5158400" w14:textId="0628E398" w:rsidR="00F46AE2" w:rsidRPr="00F50D98" w:rsidRDefault="00F46AE2" w:rsidP="00487002">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F31F9" w14:textId="77777777" w:rsidR="006469FB" w:rsidRDefault="006469FB">
      <w:r>
        <w:separator/>
      </w:r>
    </w:p>
  </w:footnote>
  <w:footnote w:type="continuationSeparator" w:id="0">
    <w:p w14:paraId="549DA9DF" w14:textId="77777777" w:rsidR="006469FB" w:rsidRDefault="006469FB">
      <w:r>
        <w:continuationSeparator/>
      </w:r>
    </w:p>
  </w:footnote>
  <w:footnote w:type="continuationNotice" w:id="1">
    <w:p w14:paraId="46215C2D" w14:textId="77777777" w:rsidR="006469FB" w:rsidRDefault="006469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B958CC" w:rsidRDefault="00ED04EC" w:rsidP="00ED04EC">
          <w:pPr>
            <w:pStyle w:val="Header"/>
            <w:rPr>
              <w:rFonts w:cs="Arial"/>
              <w:sz w:val="16"/>
              <w:szCs w:val="16"/>
            </w:rPr>
          </w:pPr>
          <w:r w:rsidRPr="00B958CC">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38C7126B" w:rsidR="00ED04EC" w:rsidRPr="00B958CC" w:rsidRDefault="00A36F8D" w:rsidP="00ED04EC">
          <w:pPr>
            <w:pStyle w:val="Header"/>
            <w:rPr>
              <w:rFonts w:cs="Arial"/>
              <w:sz w:val="16"/>
              <w:szCs w:val="16"/>
            </w:rPr>
          </w:pPr>
          <w:r w:rsidRPr="00A36F8D">
            <w:rPr>
              <w:rFonts w:cs="Arial"/>
              <w:sz w:val="16"/>
              <w:szCs w:val="16"/>
            </w:rPr>
            <w:t>6250-A</w:t>
          </w:r>
        </w:p>
      </w:tc>
    </w:tr>
  </w:tbl>
  <w:p w14:paraId="0D5ACCC2" w14:textId="462A1075" w:rsidR="00ED04EC" w:rsidRPr="00AA1E6A" w:rsidRDefault="00ED04EC"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804C7"/>
    <w:multiLevelType w:val="hybridMultilevel"/>
    <w:tmpl w:val="F8AA5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43135B"/>
    <w:multiLevelType w:val="hybridMultilevel"/>
    <w:tmpl w:val="760662C2"/>
    <w:lvl w:ilvl="0" w:tplc="04090015">
      <w:start w:val="1"/>
      <w:numFmt w:val="upperLetter"/>
      <w:lvlText w:val="%1."/>
      <w:lvlJc w:val="left"/>
      <w:pPr>
        <w:ind w:left="60" w:hanging="360"/>
      </w:pPr>
      <w:rPr>
        <w:vertAlign w:val="baseline"/>
      </w:rPr>
    </w:lvl>
    <w:lvl w:ilvl="1" w:tplc="04090019">
      <w:start w:val="1"/>
      <w:numFmt w:val="lowerLetter"/>
      <w:lvlText w:val="%2."/>
      <w:lvlJc w:val="left"/>
      <w:pPr>
        <w:ind w:left="780" w:hanging="360"/>
      </w:pPr>
    </w:lvl>
    <w:lvl w:ilvl="2" w:tplc="04090015">
      <w:start w:val="1"/>
      <w:numFmt w:val="upperLetter"/>
      <w:lvlText w:val="%3."/>
      <w:lvlJc w:val="left"/>
      <w:pPr>
        <w:ind w:left="1680" w:hanging="360"/>
      </w:pPr>
    </w:lvl>
    <w:lvl w:ilvl="3" w:tplc="0409000F">
      <w:start w:val="1"/>
      <w:numFmt w:val="decimal"/>
      <w:lvlText w:val="%4."/>
      <w:lvlJc w:val="left"/>
      <w:pPr>
        <w:ind w:left="2220" w:hanging="360"/>
      </w:pPr>
    </w:lvl>
    <w:lvl w:ilvl="4" w:tplc="04090019">
      <w:start w:val="1"/>
      <w:numFmt w:val="lowerLetter"/>
      <w:lvlText w:val="%5."/>
      <w:lvlJc w:val="left"/>
      <w:pPr>
        <w:ind w:left="2940" w:hanging="360"/>
      </w:pPr>
    </w:lvl>
    <w:lvl w:ilvl="5" w:tplc="0409001B">
      <w:start w:val="1"/>
      <w:numFmt w:val="lowerRoman"/>
      <w:lvlText w:val="%6."/>
      <w:lvlJc w:val="right"/>
      <w:pPr>
        <w:ind w:left="3660" w:hanging="180"/>
      </w:pPr>
    </w:lvl>
    <w:lvl w:ilvl="6" w:tplc="0409000F">
      <w:start w:val="1"/>
      <w:numFmt w:val="decimal"/>
      <w:lvlText w:val="%7."/>
      <w:lvlJc w:val="left"/>
      <w:pPr>
        <w:ind w:left="4380" w:hanging="360"/>
      </w:pPr>
    </w:lvl>
    <w:lvl w:ilvl="7" w:tplc="04090019">
      <w:start w:val="1"/>
      <w:numFmt w:val="lowerLetter"/>
      <w:lvlText w:val="%8."/>
      <w:lvlJc w:val="left"/>
      <w:pPr>
        <w:ind w:left="5100" w:hanging="360"/>
      </w:pPr>
    </w:lvl>
    <w:lvl w:ilvl="8" w:tplc="0409001B">
      <w:start w:val="1"/>
      <w:numFmt w:val="lowerRoman"/>
      <w:lvlText w:val="%9."/>
      <w:lvlJc w:val="right"/>
      <w:pPr>
        <w:ind w:left="5820" w:hanging="180"/>
      </w:pPr>
    </w:lvl>
  </w:abstractNum>
  <w:abstractNum w:abstractNumId="12" w15:restartNumberingAfterBreak="0">
    <w:nsid w:val="01816216"/>
    <w:multiLevelType w:val="hybridMultilevel"/>
    <w:tmpl w:val="C6CAC752"/>
    <w:lvl w:ilvl="0" w:tplc="3DE287B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453504F"/>
    <w:multiLevelType w:val="hybridMultilevel"/>
    <w:tmpl w:val="6D6A0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247159"/>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3E38AE"/>
    <w:multiLevelType w:val="hybridMultilevel"/>
    <w:tmpl w:val="32AC66F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536CD7"/>
    <w:multiLevelType w:val="hybridMultilevel"/>
    <w:tmpl w:val="AA6A585E"/>
    <w:lvl w:ilvl="0" w:tplc="173CB4AE">
      <w:start w:val="1"/>
      <w:numFmt w:val="upperRoman"/>
      <w:lvlText w:val="%1."/>
      <w:lvlJc w:val="left"/>
      <w:pPr>
        <w:ind w:left="1080" w:hanging="720"/>
      </w:pPr>
      <w:rPr>
        <w:rFonts w:hint="default"/>
      </w:rPr>
    </w:lvl>
    <w:lvl w:ilvl="1" w:tplc="957C641C">
      <w:start w:val="1"/>
      <w:numFmt w:val="upp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2107F7"/>
    <w:multiLevelType w:val="hybridMultilevel"/>
    <w:tmpl w:val="760662C2"/>
    <w:lvl w:ilvl="0" w:tplc="FFFFFFFF">
      <w:start w:val="1"/>
      <w:numFmt w:val="upperLetter"/>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upp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3" w15:restartNumberingAfterBreak="0">
    <w:nsid w:val="735B4143"/>
    <w:multiLevelType w:val="hybridMultilevel"/>
    <w:tmpl w:val="760662C2"/>
    <w:lvl w:ilvl="0" w:tplc="FFFFFFFF">
      <w:start w:val="1"/>
      <w:numFmt w:val="upperLetter"/>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upperLetter"/>
      <w:lvlText w:val="%3."/>
      <w:lvlJc w:val="left"/>
      <w:pPr>
        <w:ind w:left="2700" w:hanging="36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29"/>
  </w:num>
  <w:num w:numId="3" w16cid:durableId="611589570">
    <w:abstractNumId w:val="24"/>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3"/>
  </w:num>
  <w:num w:numId="16" w16cid:durableId="898320195">
    <w:abstractNumId w:val="20"/>
  </w:num>
  <w:num w:numId="17" w16cid:durableId="2128498676">
    <w:abstractNumId w:val="34"/>
  </w:num>
  <w:num w:numId="18" w16cid:durableId="299724409">
    <w:abstractNumId w:val="25"/>
  </w:num>
  <w:num w:numId="19" w16cid:durableId="214585573">
    <w:abstractNumId w:val="16"/>
  </w:num>
  <w:num w:numId="20" w16cid:durableId="1289816170">
    <w:abstractNumId w:val="17"/>
  </w:num>
  <w:num w:numId="21" w16cid:durableId="1066490929">
    <w:abstractNumId w:val="35"/>
  </w:num>
  <w:num w:numId="22" w16cid:durableId="1472481103">
    <w:abstractNumId w:val="27"/>
  </w:num>
  <w:num w:numId="23" w16cid:durableId="1997420403">
    <w:abstractNumId w:val="30"/>
  </w:num>
  <w:num w:numId="24" w16cid:durableId="33312838">
    <w:abstractNumId w:val="26"/>
  </w:num>
  <w:num w:numId="25" w16cid:durableId="507404939">
    <w:abstractNumId w:val="19"/>
  </w:num>
  <w:num w:numId="26" w16cid:durableId="1950313333">
    <w:abstractNumId w:val="22"/>
  </w:num>
  <w:num w:numId="27" w16cid:durableId="1866016584">
    <w:abstractNumId w:val="21"/>
  </w:num>
  <w:num w:numId="28" w16cid:durableId="1378890218">
    <w:abstractNumId w:val="31"/>
  </w:num>
  <w:num w:numId="29" w16cid:durableId="1356156002">
    <w:abstractNumId w:val="12"/>
  </w:num>
  <w:num w:numId="30" w16cid:durableId="463894371">
    <w:abstractNumId w:val="28"/>
  </w:num>
  <w:num w:numId="31" w16cid:durableId="8527324">
    <w:abstractNumId w:val="11"/>
  </w:num>
  <w:num w:numId="32" w16cid:durableId="2042123183">
    <w:abstractNumId w:val="33"/>
  </w:num>
  <w:num w:numId="33" w16cid:durableId="1284775751">
    <w:abstractNumId w:val="32"/>
  </w:num>
  <w:num w:numId="34" w16cid:durableId="1850018837">
    <w:abstractNumId w:val="18"/>
  </w:num>
  <w:num w:numId="35" w16cid:durableId="1072855226">
    <w:abstractNumId w:val="23"/>
  </w:num>
  <w:num w:numId="36" w16cid:durableId="170355725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313"/>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418"/>
    <w:rsid w:val="00062816"/>
    <w:rsid w:val="00064347"/>
    <w:rsid w:val="00064396"/>
    <w:rsid w:val="00065AC6"/>
    <w:rsid w:val="00066D4B"/>
    <w:rsid w:val="000673E8"/>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19E8"/>
    <w:rsid w:val="00132118"/>
    <w:rsid w:val="001344B1"/>
    <w:rsid w:val="00134671"/>
    <w:rsid w:val="0013477B"/>
    <w:rsid w:val="0013503B"/>
    <w:rsid w:val="001356EF"/>
    <w:rsid w:val="00136BE6"/>
    <w:rsid w:val="001370F9"/>
    <w:rsid w:val="00137657"/>
    <w:rsid w:val="0013791A"/>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57FEC"/>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2FE"/>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91C"/>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15E"/>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38FE"/>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1F14"/>
    <w:rsid w:val="0042209A"/>
    <w:rsid w:val="0042222E"/>
    <w:rsid w:val="00422416"/>
    <w:rsid w:val="004226CD"/>
    <w:rsid w:val="00422766"/>
    <w:rsid w:val="004236F4"/>
    <w:rsid w:val="00423C96"/>
    <w:rsid w:val="00425453"/>
    <w:rsid w:val="004260D4"/>
    <w:rsid w:val="004260DE"/>
    <w:rsid w:val="0042761F"/>
    <w:rsid w:val="00427B15"/>
    <w:rsid w:val="00430B2F"/>
    <w:rsid w:val="00430D67"/>
    <w:rsid w:val="00431634"/>
    <w:rsid w:val="00431A2D"/>
    <w:rsid w:val="00431D2B"/>
    <w:rsid w:val="00431EB7"/>
    <w:rsid w:val="00433A31"/>
    <w:rsid w:val="00433E3A"/>
    <w:rsid w:val="00433EE2"/>
    <w:rsid w:val="0043489C"/>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1FE4"/>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002"/>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7FF"/>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0B79"/>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434"/>
    <w:rsid w:val="0063460D"/>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9FB"/>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2E"/>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6657A"/>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3C3D"/>
    <w:rsid w:val="007C4D57"/>
    <w:rsid w:val="007C4F4F"/>
    <w:rsid w:val="007C5719"/>
    <w:rsid w:val="007C5812"/>
    <w:rsid w:val="007C70BD"/>
    <w:rsid w:val="007C74F4"/>
    <w:rsid w:val="007D09FB"/>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369D6"/>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3B8"/>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984"/>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65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CBF"/>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6F8D"/>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25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2E2"/>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5AF5"/>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5A25"/>
    <w:rsid w:val="00B36321"/>
    <w:rsid w:val="00B4086C"/>
    <w:rsid w:val="00B40FC0"/>
    <w:rsid w:val="00B42425"/>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50B"/>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58CC"/>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0B94"/>
    <w:rsid w:val="00BB2668"/>
    <w:rsid w:val="00BB3275"/>
    <w:rsid w:val="00BB32ED"/>
    <w:rsid w:val="00BB3604"/>
    <w:rsid w:val="00BB379D"/>
    <w:rsid w:val="00BB3F6D"/>
    <w:rsid w:val="00BB4131"/>
    <w:rsid w:val="00BB41AE"/>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029"/>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3FE"/>
    <w:rsid w:val="00CD16AB"/>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4F3E"/>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1D9"/>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6CB"/>
    <w:rsid w:val="00E21E0B"/>
    <w:rsid w:val="00E23842"/>
    <w:rsid w:val="00E24B03"/>
    <w:rsid w:val="00E25668"/>
    <w:rsid w:val="00E25EA1"/>
    <w:rsid w:val="00E25FBE"/>
    <w:rsid w:val="00E26712"/>
    <w:rsid w:val="00E2682A"/>
    <w:rsid w:val="00E268FA"/>
    <w:rsid w:val="00E27447"/>
    <w:rsid w:val="00E3028B"/>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87CF5"/>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901"/>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19C3"/>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6AE2"/>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1EF"/>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97DEC"/>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980C2A6A-4907-428E-933A-10C320EA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character" w:customStyle="1" w:styleId="ui-provider">
    <w:name w:val="ui-provider"/>
    <w:basedOn w:val="DefaultParagraphFont"/>
    <w:rsid w:val="00242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A67CB877-02B5-4C71-BF60-9F3B773483ED}"/>
</file>

<file path=customXml/itemProps4.xml><?xml version="1.0" encoding="utf-8"?>
<ds:datastoreItem xmlns:ds="http://schemas.openxmlformats.org/officeDocument/2006/customXml" ds:itemID="{A243CFE1-08DE-432F-83DD-4933F5F97812}">
  <ds:schemaRefs>
    <ds:schemaRef ds:uri="http://schemas.microsoft.com/office/2006/documentManagement/types"/>
    <ds:schemaRef ds:uri="http://schemas.openxmlformats.org/package/2006/metadata/core-properties"/>
    <ds:schemaRef ds:uri="ce173f13-e3a2-4c5f-8c54-d0382ae88016"/>
    <ds:schemaRef ds:uri="http://purl.org/dc/elements/1.1/"/>
    <ds:schemaRef ds:uri="http://schemas.microsoft.com/office/infopath/2007/PartnerControls"/>
    <ds:schemaRef ds:uri="http://schemas.microsoft.com/office/2006/metadata/properties"/>
    <ds:schemaRef ds:uri="http://purl.org/dc/terms/"/>
    <ds:schemaRef ds:uri="102fadf2-6cae-45bc-95f6-bc2613b98572"/>
    <ds:schemaRef ds:uri="http://www.w3.org/XML/1998/namespace"/>
    <ds:schemaRef ds:uri="http://purl.org/dc/dcmitype/"/>
    <ds:schemaRef ds:uri="d8141934-0c15-45a3-8ee8-53e64ae38189"/>
    <ds:schemaRef ds:uri="043d2832-9d9b-42b0-abd6-be76ec978c95"/>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358</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Adzynma 6250-A SGM 2024</vt:lpstr>
    </vt:vector>
  </TitlesOfParts>
  <Company>PCS Health Systems</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Adzynma 6250-A SGM 2024</dc:title>
  <dc:subject/>
  <dc:creator>CVS Caremark</dc:creator>
  <cp:keywords/>
  <cp:lastModifiedBy>Tristano, Stephanie G</cp:lastModifiedBy>
  <cp:revision>17</cp:revision>
  <cp:lastPrinted>2018-01-09T08:01:00Z</cp:lastPrinted>
  <dcterms:created xsi:type="dcterms:W3CDTF">2024-07-15T06:12:00Z</dcterms:created>
  <dcterms:modified xsi:type="dcterms:W3CDTF">2024-10-27T19:26:00Z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1567800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